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36" w:type="dxa"/>
        <w:jc w:val="center"/>
        <w:tblInd w:w="-508" w:type="dxa"/>
        <w:tblLook w:val="04A0" w:firstRow="1" w:lastRow="0" w:firstColumn="1" w:lastColumn="0" w:noHBand="0" w:noVBand="1"/>
      </w:tblPr>
      <w:tblGrid>
        <w:gridCol w:w="6463"/>
        <w:gridCol w:w="3773"/>
      </w:tblGrid>
      <w:tr w:rsidR="00C72193" w:rsidRPr="00972EAD" w:rsidTr="00972EAD">
        <w:trPr>
          <w:jc w:val="center"/>
        </w:trPr>
        <w:tc>
          <w:tcPr>
            <w:tcW w:w="6463" w:type="dxa"/>
            <w:vMerge w:val="restart"/>
          </w:tcPr>
          <w:p w:rsidR="00C72193" w:rsidRPr="00972EAD" w:rsidRDefault="00C72193" w:rsidP="00972E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Пищевая продукция</w:t>
            </w:r>
          </w:p>
          <w:p w:rsidR="00C72193" w:rsidRPr="00972EAD" w:rsidRDefault="00C72193" w:rsidP="0097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 злаковых, бобовых и масличных культур на пищевые цели. </w:t>
            </w:r>
            <w:proofErr w:type="gramStart"/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переработки зерна (мука, крупа, побочные продукты мукомольно-крупяной промышленности.</w:t>
            </w:r>
            <w:proofErr w:type="gramEnd"/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Зародыши семян зерновых, зернобобовых и других культур и продукты из них, хлопья и шрот из них, отруби, пищевые волокна из отрубей.</w:t>
            </w:r>
          </w:p>
          <w:p w:rsidR="00C72193" w:rsidRPr="00972EAD" w:rsidRDefault="00C72193" w:rsidP="0097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мясной и птицеперерабатывающей промышленности, яйца и яйцепродукты, в том числе продукция общественного питания.</w:t>
            </w:r>
          </w:p>
          <w:p w:rsidR="00C72193" w:rsidRPr="00972EAD" w:rsidRDefault="00C72193" w:rsidP="0097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продукция молочной и маслосыродельной промышленности, в том числе продукция общественного питания.</w:t>
            </w:r>
          </w:p>
          <w:p w:rsidR="00C72193" w:rsidRPr="00972EAD" w:rsidRDefault="00C72193" w:rsidP="0097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Пищевая масложировая продукция: масла растительные, маргарины, спреды, жиры специального назначения, эквиваленты масла какао, заменители  масла какао, соусы на основе растительных масел, майонез, соус, соус майонезный, крем на растительных маслах. </w:t>
            </w:r>
          </w:p>
          <w:p w:rsidR="00C72193" w:rsidRPr="00972EAD" w:rsidRDefault="00C72193" w:rsidP="0097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Свежие овощи, картофель, бахчевые культуры, фрукты, грибы и орехи (кроме семенного посадочного материала), свекла сахарная.</w:t>
            </w:r>
          </w:p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переработки фруктов, овощей, грибов, включая соковую продукцию из фруктов и овощей, прочая пищевая продукция.</w:t>
            </w:r>
          </w:p>
        </w:tc>
        <w:tc>
          <w:tcPr>
            <w:tcW w:w="3773" w:type="dxa"/>
          </w:tcPr>
          <w:p w:rsidR="00C72193" w:rsidRPr="00972EAD" w:rsidRDefault="00C72193" w:rsidP="00972E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Ветеринарно-санитарная экспертиза: </w:t>
            </w:r>
          </w:p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93" w:rsidRPr="00972EAD" w:rsidTr="00972EAD">
        <w:trPr>
          <w:jc w:val="center"/>
        </w:trPr>
        <w:tc>
          <w:tcPr>
            <w:tcW w:w="6463" w:type="dxa"/>
            <w:vMerge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результатов     исследований пищевой продукции по показателям качества и безопасности</w:t>
            </w:r>
          </w:p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93" w:rsidRPr="00972EAD" w:rsidTr="00972EAD">
        <w:trPr>
          <w:jc w:val="center"/>
        </w:trPr>
        <w:tc>
          <w:tcPr>
            <w:tcW w:w="6463" w:type="dxa"/>
            <w:vMerge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      </w:r>
          </w:p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93" w:rsidRPr="00972EAD" w:rsidTr="00972EAD">
        <w:trPr>
          <w:jc w:val="center"/>
        </w:trPr>
        <w:tc>
          <w:tcPr>
            <w:tcW w:w="6463" w:type="dxa"/>
            <w:vMerge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влияния пищевой продукции на здоровье населения</w:t>
            </w:r>
          </w:p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93" w:rsidRPr="00972EAD" w:rsidTr="00972EAD">
        <w:trPr>
          <w:jc w:val="center"/>
        </w:trPr>
        <w:tc>
          <w:tcPr>
            <w:tcW w:w="6463" w:type="dxa"/>
            <w:vMerge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документах.</w:t>
            </w:r>
          </w:p>
          <w:p w:rsidR="00C72193" w:rsidRPr="00972EAD" w:rsidRDefault="00C72193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20" w:rsidRPr="00972EAD" w:rsidTr="00972EAD">
        <w:trPr>
          <w:jc w:val="center"/>
        </w:trPr>
        <w:tc>
          <w:tcPr>
            <w:tcW w:w="6463" w:type="dxa"/>
            <w:vMerge w:val="restart"/>
          </w:tcPr>
          <w:p w:rsidR="00ED7D20" w:rsidRPr="00972EAD" w:rsidRDefault="00ED7D20" w:rsidP="00972EAD">
            <w:pPr>
              <w:rPr>
                <w:rFonts w:ascii="Times New Roman" w:eastAsia="Times New Roman" w:hAnsi="Times New Roman" w:cs="Times New Roman"/>
                <w:b/>
              </w:rPr>
            </w:pPr>
            <w:r w:rsidRPr="00972EAD">
              <w:rPr>
                <w:rFonts w:ascii="Times New Roman" w:eastAsia="Times New Roman" w:hAnsi="Times New Roman" w:cs="Times New Roman"/>
                <w:b/>
              </w:rPr>
              <w:t xml:space="preserve">Корма растительного и животного происхождения, комбикорма, кормовые добавки, зерно злаковых бобовых, масличных  культур на кормовые цели </w:t>
            </w:r>
          </w:p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AD">
              <w:rPr>
                <w:rFonts w:ascii="Times New Roman" w:eastAsia="Times New Roman" w:hAnsi="Times New Roman" w:cs="Times New Roman"/>
              </w:rPr>
              <w:t xml:space="preserve">Зерно злаковых, бобовых и масличных культур на кормовые цели, кормовые культуры полевого возделывания, </w:t>
            </w:r>
            <w:proofErr w:type="spellStart"/>
            <w:r w:rsidRPr="00972EAD">
              <w:rPr>
                <w:rFonts w:ascii="Times New Roman" w:eastAsia="Times New Roman" w:hAnsi="Times New Roman" w:cs="Times New Roman"/>
              </w:rPr>
              <w:t>корнеклубнеплодные</w:t>
            </w:r>
            <w:proofErr w:type="spellEnd"/>
            <w:r w:rsidRPr="00972EAD">
              <w:rPr>
                <w:rFonts w:ascii="Times New Roman" w:eastAsia="Times New Roman" w:hAnsi="Times New Roman" w:cs="Times New Roman"/>
              </w:rPr>
              <w:t xml:space="preserve"> и бахчевые культуры кормовые, включая сахарную свеклу на корм, продукция кормопроизводства прочая, сено,  силос, сенаж, мука сенная, мука травяная искусственной сушки, кормовые продукты мукомольно-крупяной и маслобойной промышленности, жмыхи и шроты кормовые, смеси кормовые, мука кормовая животного происхождения (мясная, мясокостная, кровяная, костная), мучка кормовая, </w:t>
            </w:r>
            <w:proofErr w:type="spellStart"/>
            <w:r w:rsidRPr="00972EAD">
              <w:rPr>
                <w:rFonts w:ascii="Times New Roman" w:eastAsia="Times New Roman" w:hAnsi="Times New Roman" w:cs="Times New Roman"/>
              </w:rPr>
              <w:t>дробленка</w:t>
            </w:r>
            <w:proofErr w:type="spellEnd"/>
            <w:r w:rsidRPr="00972EAD">
              <w:rPr>
                <w:rFonts w:ascii="Times New Roman" w:eastAsia="Times New Roman" w:hAnsi="Times New Roman" w:cs="Times New Roman"/>
              </w:rPr>
              <w:t xml:space="preserve"> кормовая, кормовая</w:t>
            </w:r>
            <w:proofErr w:type="gramEnd"/>
            <w:r w:rsidRPr="00972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72EAD">
              <w:rPr>
                <w:rFonts w:ascii="Times New Roman" w:eastAsia="Times New Roman" w:hAnsi="Times New Roman" w:cs="Times New Roman"/>
              </w:rPr>
              <w:t xml:space="preserve">продукция  птицеперерабатывающей промышленности, корма животные сухие, мука кормовая рыбная, молоко сухое, кормовая продукция микробиологической промышленности, препараты ферментные, дрожжи кормовые, кормовые добавки минерального происхождения: карбамид (мочевина), фосфаты кормовые, мука известняковая, мел, метионин кормовой, витаминные и </w:t>
            </w:r>
            <w:proofErr w:type="spellStart"/>
            <w:r w:rsidRPr="00972EAD">
              <w:rPr>
                <w:rFonts w:ascii="Times New Roman" w:eastAsia="Times New Roman" w:hAnsi="Times New Roman" w:cs="Times New Roman"/>
              </w:rPr>
              <w:t>белково</w:t>
            </w:r>
            <w:proofErr w:type="spellEnd"/>
            <w:r w:rsidRPr="00972EAD">
              <w:rPr>
                <w:rFonts w:ascii="Times New Roman" w:eastAsia="Times New Roman" w:hAnsi="Times New Roman" w:cs="Times New Roman"/>
              </w:rPr>
              <w:t>-витаминные добавки, жом сушеный, в том числе для экспорта, меласса свекловичная, комбикорма, в т. ч. обогащенные, белок кормовой, концентрат кормовой, премиксы, продукция комбикормовой  промышленности,  смеси кормовые</w:t>
            </w:r>
            <w:proofErr w:type="gramEnd"/>
            <w:r w:rsidRPr="00972EAD">
              <w:rPr>
                <w:rFonts w:ascii="Times New Roman" w:eastAsia="Times New Roman" w:hAnsi="Times New Roman" w:cs="Times New Roman"/>
              </w:rPr>
              <w:t xml:space="preserve">, концентрат </w:t>
            </w:r>
            <w:proofErr w:type="spellStart"/>
            <w:r w:rsidRPr="00972EAD">
              <w:rPr>
                <w:rFonts w:ascii="Times New Roman" w:eastAsia="Times New Roman" w:hAnsi="Times New Roman" w:cs="Times New Roman"/>
              </w:rPr>
              <w:t>карбамидный</w:t>
            </w:r>
            <w:proofErr w:type="spellEnd"/>
            <w:r w:rsidRPr="00972EAD">
              <w:rPr>
                <w:rFonts w:ascii="Times New Roman" w:eastAsia="Times New Roman" w:hAnsi="Times New Roman" w:cs="Times New Roman"/>
              </w:rPr>
              <w:t xml:space="preserve">, корма для непродуктивных животных </w:t>
            </w:r>
            <w:r w:rsidRPr="00972EAD">
              <w:rPr>
                <w:rFonts w:ascii="Times New Roman" w:eastAsia="Times New Roman" w:hAnsi="Times New Roman" w:cs="Times New Roman"/>
              </w:rPr>
              <w:lastRenderedPageBreak/>
              <w:t>декоративных рыб и птиц, комбикорма для рыб, прочая кормовая и комбикормовая продукция.</w:t>
            </w:r>
          </w:p>
        </w:tc>
        <w:tc>
          <w:tcPr>
            <w:tcW w:w="3773" w:type="dxa"/>
          </w:tcPr>
          <w:p w:rsidR="00ED7D20" w:rsidRPr="00972EAD" w:rsidRDefault="00ED7D20" w:rsidP="00972EAD">
            <w:pPr>
              <w:rPr>
                <w:rFonts w:ascii="Times New Roman" w:eastAsia="Times New Roman" w:hAnsi="Times New Roman" w:cs="Times New Roman"/>
                <w:b/>
              </w:rPr>
            </w:pPr>
            <w:r w:rsidRPr="00972EA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Ветеринарно-санитарная экспертиза </w:t>
            </w:r>
          </w:p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20" w:rsidRPr="00972EAD" w:rsidTr="00972EAD">
        <w:trPr>
          <w:jc w:val="center"/>
        </w:trPr>
        <w:tc>
          <w:tcPr>
            <w:tcW w:w="6463" w:type="dxa"/>
            <w:vMerge/>
          </w:tcPr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ED7D20" w:rsidRPr="00972EAD" w:rsidRDefault="00ED7D2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влияния кормовой продукции на здоровье животных</w:t>
            </w: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20" w:rsidRPr="00972EAD" w:rsidTr="00972EAD">
        <w:trPr>
          <w:jc w:val="center"/>
        </w:trPr>
        <w:tc>
          <w:tcPr>
            <w:tcW w:w="6463" w:type="dxa"/>
            <w:vMerge/>
          </w:tcPr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исследований кормовой продукции.</w:t>
            </w:r>
          </w:p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20" w:rsidRPr="00972EAD" w:rsidTr="00972EAD">
        <w:trPr>
          <w:jc w:val="center"/>
        </w:trPr>
        <w:tc>
          <w:tcPr>
            <w:tcW w:w="6463" w:type="dxa"/>
            <w:vMerge/>
          </w:tcPr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      </w:r>
          </w:p>
          <w:p w:rsidR="00ED7D20" w:rsidRPr="00972EAD" w:rsidRDefault="00ED7D2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78" w:rsidRPr="00972EAD" w:rsidTr="00972EAD">
        <w:trPr>
          <w:jc w:val="center"/>
        </w:trPr>
        <w:tc>
          <w:tcPr>
            <w:tcW w:w="6463" w:type="dxa"/>
            <w:vMerge w:val="restart"/>
          </w:tcPr>
          <w:p w:rsidR="00623178" w:rsidRPr="00972EAD" w:rsidRDefault="00623178" w:rsidP="00972EAD">
            <w:pPr>
              <w:rPr>
                <w:rFonts w:ascii="Times New Roman" w:hAnsi="Times New Roman"/>
                <w:b/>
              </w:rPr>
            </w:pPr>
            <w:r w:rsidRPr="00972EAD">
              <w:rPr>
                <w:rFonts w:ascii="Times New Roman" w:hAnsi="Times New Roman"/>
                <w:b/>
              </w:rPr>
              <w:lastRenderedPageBreak/>
              <w:t xml:space="preserve">Непищевая продукция </w:t>
            </w:r>
          </w:p>
          <w:p w:rsidR="00623178" w:rsidRPr="00972EAD" w:rsidRDefault="00623178" w:rsidP="00972EAD">
            <w:pPr>
              <w:rPr>
                <w:rFonts w:ascii="Times New Roman" w:hAnsi="Times New Roman"/>
              </w:rPr>
            </w:pPr>
            <w:r w:rsidRPr="00972EAD">
              <w:rPr>
                <w:rFonts w:ascii="Times New Roman" w:hAnsi="Times New Roman"/>
              </w:rPr>
              <w:t>Смывы и соскобы с поверхности стен помещений,</w:t>
            </w:r>
          </w:p>
          <w:p w:rsidR="00623178" w:rsidRPr="00972EAD" w:rsidRDefault="00623178" w:rsidP="00972EAD">
            <w:pPr>
              <w:rPr>
                <w:rFonts w:ascii="Times New Roman" w:hAnsi="Times New Roman"/>
              </w:rPr>
            </w:pPr>
            <w:r w:rsidRPr="00972EAD">
              <w:rPr>
                <w:rFonts w:ascii="Times New Roman" w:hAnsi="Times New Roman"/>
              </w:rPr>
              <w:t>дезинфекционные,</w:t>
            </w:r>
          </w:p>
          <w:p w:rsidR="00623178" w:rsidRPr="00972EAD" w:rsidRDefault="00623178" w:rsidP="00972EAD">
            <w:pPr>
              <w:rPr>
                <w:rFonts w:ascii="Times New Roman" w:hAnsi="Times New Roman"/>
              </w:rPr>
            </w:pPr>
            <w:r w:rsidRPr="00972EAD">
              <w:rPr>
                <w:rFonts w:ascii="Times New Roman" w:hAnsi="Times New Roman"/>
              </w:rPr>
              <w:t xml:space="preserve">дезинсекционные, </w:t>
            </w:r>
            <w:proofErr w:type="spellStart"/>
            <w:r w:rsidRPr="00972EAD">
              <w:rPr>
                <w:rFonts w:ascii="Times New Roman" w:hAnsi="Times New Roman"/>
              </w:rPr>
              <w:t>дератизационные</w:t>
            </w:r>
            <w:proofErr w:type="spellEnd"/>
            <w:r w:rsidRPr="00972EAD">
              <w:rPr>
                <w:rFonts w:ascii="Times New Roman" w:hAnsi="Times New Roman"/>
              </w:rPr>
              <w:t xml:space="preserve"> средства; средства защиты растений; </w:t>
            </w:r>
            <w:proofErr w:type="spellStart"/>
            <w:r w:rsidRPr="00972EAD">
              <w:rPr>
                <w:rFonts w:ascii="Times New Roman" w:hAnsi="Times New Roman"/>
              </w:rPr>
              <w:t>агрохимикаты</w:t>
            </w:r>
            <w:proofErr w:type="spellEnd"/>
            <w:r w:rsidRPr="00972EAD">
              <w:rPr>
                <w:rFonts w:ascii="Times New Roman" w:hAnsi="Times New Roman"/>
              </w:rPr>
              <w:t xml:space="preserve">, пестициды, минеральное сырье;  удобрения органические твердые и жидкие, </w:t>
            </w:r>
          </w:p>
          <w:p w:rsidR="00972EAD" w:rsidRDefault="00623178" w:rsidP="00972EAD">
            <w:pPr>
              <w:rPr>
                <w:rFonts w:ascii="Times New Roman" w:hAnsi="Times New Roman"/>
              </w:rPr>
            </w:pPr>
            <w:r w:rsidRPr="00972EAD">
              <w:rPr>
                <w:rFonts w:ascii="Times New Roman" w:hAnsi="Times New Roman"/>
              </w:rPr>
              <w:t>грунты тепличные</w:t>
            </w:r>
            <w:bookmarkStart w:id="0" w:name="_GoBack"/>
            <w:bookmarkEnd w:id="0"/>
            <w:r w:rsidRPr="00972EAD">
              <w:rPr>
                <w:rFonts w:ascii="Times New Roman" w:hAnsi="Times New Roman"/>
              </w:rPr>
              <w:t xml:space="preserve"> </w:t>
            </w:r>
          </w:p>
          <w:p w:rsidR="00623178" w:rsidRPr="00972EAD" w:rsidRDefault="00623178" w:rsidP="00972EAD">
            <w:pPr>
              <w:rPr>
                <w:rFonts w:ascii="Times New Roman" w:hAnsi="Times New Roman"/>
              </w:rPr>
            </w:pPr>
            <w:r w:rsidRPr="00972EAD">
              <w:rPr>
                <w:rFonts w:ascii="Times New Roman" w:hAnsi="Times New Roman"/>
                <w:bCs/>
              </w:rPr>
              <w:t xml:space="preserve">Семена сельскохозяйственных растений: зерновых, зернобобовых, овощных культур,  масличных, кормовых культур; </w:t>
            </w:r>
            <w:proofErr w:type="gramStart"/>
            <w:r w:rsidRPr="00972EAD">
              <w:rPr>
                <w:rFonts w:ascii="Times New Roman" w:hAnsi="Times New Roman"/>
                <w:bCs/>
              </w:rPr>
              <w:t>посадочный материал овощных культур, семена и посадочный материал технических и эфиромасличных культур,  семена и посадочный материал цветочных культур, картофель семенной, семена лекарственных и ароматических культур, зерно, семена технических культур, семена бобовых, злаковых трав, декоративных культур, семена сахарной свеклы,</w:t>
            </w:r>
            <w:r w:rsidRPr="00972EAD">
              <w:rPr>
                <w:rFonts w:ascii="Times New Roman" w:hAnsi="Times New Roman"/>
                <w:b/>
                <w:bCs/>
              </w:rPr>
              <w:t xml:space="preserve"> </w:t>
            </w:r>
            <w:r w:rsidRPr="00972EAD">
              <w:rPr>
                <w:rFonts w:ascii="Times New Roman" w:hAnsi="Times New Roman"/>
                <w:bCs/>
              </w:rPr>
              <w:t xml:space="preserve">посадочный материал плодовых, ягодных, </w:t>
            </w:r>
            <w:proofErr w:type="spellStart"/>
            <w:r w:rsidRPr="00972EAD">
              <w:rPr>
                <w:rFonts w:ascii="Times New Roman" w:hAnsi="Times New Roman"/>
                <w:bCs/>
              </w:rPr>
              <w:t>орехо</w:t>
            </w:r>
            <w:proofErr w:type="spellEnd"/>
            <w:r w:rsidRPr="00972EAD">
              <w:rPr>
                <w:rFonts w:ascii="Times New Roman" w:hAnsi="Times New Roman"/>
                <w:bCs/>
              </w:rPr>
              <w:t>-плодных и декоративных культур, семена деревьев и кустарников, посадочный материал</w:t>
            </w:r>
            <w:r w:rsidRPr="00972EAD">
              <w:rPr>
                <w:rFonts w:ascii="Times New Roman" w:hAnsi="Times New Roman"/>
                <w:b/>
                <w:bCs/>
              </w:rPr>
              <w:t xml:space="preserve">  </w:t>
            </w:r>
            <w:r w:rsidRPr="00972EAD">
              <w:rPr>
                <w:rFonts w:ascii="Times New Roman" w:hAnsi="Times New Roman"/>
                <w:bCs/>
              </w:rPr>
              <w:t>деревьев и кустарников.</w:t>
            </w:r>
            <w:proofErr w:type="gramEnd"/>
          </w:p>
        </w:tc>
        <w:tc>
          <w:tcPr>
            <w:tcW w:w="3773" w:type="dxa"/>
          </w:tcPr>
          <w:p w:rsidR="00623178" w:rsidRPr="00972EAD" w:rsidRDefault="00623178" w:rsidP="00972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Ветеринарно-санитарная экспертиза</w:t>
            </w:r>
          </w:p>
          <w:p w:rsidR="00623178" w:rsidRPr="00972EAD" w:rsidRDefault="00623178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78" w:rsidRPr="00972EAD" w:rsidTr="00972EAD">
        <w:trPr>
          <w:jc w:val="center"/>
        </w:trPr>
        <w:tc>
          <w:tcPr>
            <w:tcW w:w="6463" w:type="dxa"/>
            <w:vMerge/>
          </w:tcPr>
          <w:p w:rsidR="00623178" w:rsidRPr="00972EAD" w:rsidRDefault="00623178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623178" w:rsidRPr="00972EAD" w:rsidRDefault="00623178" w:rsidP="00972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bCs/>
                <w:sz w:val="24"/>
                <w:szCs w:val="24"/>
              </w:rPr>
              <w:t>сортовых и посевных качеств семян</w:t>
            </w:r>
          </w:p>
          <w:p w:rsidR="00623178" w:rsidRPr="00972EAD" w:rsidRDefault="00623178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972EAD" w:rsidTr="00972EAD">
        <w:trPr>
          <w:jc w:val="center"/>
        </w:trPr>
        <w:tc>
          <w:tcPr>
            <w:tcW w:w="6463" w:type="dxa"/>
            <w:vMerge w:val="restart"/>
          </w:tcPr>
          <w:p w:rsidR="00933D59" w:rsidRPr="00972EAD" w:rsidRDefault="00933D59" w:rsidP="00972E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2EAD">
              <w:rPr>
                <w:rFonts w:ascii="Times New Roman" w:hAnsi="Times New Roman"/>
                <w:b/>
              </w:rPr>
              <w:t>Зерно, мука, крупа, комбикорма, компоненты для их производства, побочные продукты переработки зерна</w:t>
            </w:r>
          </w:p>
        </w:tc>
        <w:tc>
          <w:tcPr>
            <w:tcW w:w="3773" w:type="dxa"/>
          </w:tcPr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соответствия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транспортировке.</w:t>
            </w:r>
            <w:proofErr w:type="gramEnd"/>
          </w:p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972EAD" w:rsidTr="00972EAD">
        <w:trPr>
          <w:jc w:val="center"/>
        </w:trPr>
        <w:tc>
          <w:tcPr>
            <w:tcW w:w="6463" w:type="dxa"/>
            <w:vMerge/>
          </w:tcPr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зерна (зерновых, зернобобовых и масличных культур) с целью отнесения </w:t>
            </w:r>
            <w:proofErr w:type="gramStart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регулирования </w:t>
            </w:r>
          </w:p>
          <w:p w:rsidR="00933D59" w:rsidRPr="00972EAD" w:rsidRDefault="00933D59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 w:val="restart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Почва земель сельскохозяйственного назначения</w:t>
            </w: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Почвоведческая 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Агрохимическая 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Эколого-токсикологическая 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фитосанитарного обследования земель </w:t>
            </w:r>
            <w:proofErr w:type="spellStart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на засоренность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</w:tcPr>
          <w:p w:rsidR="00D357A0" w:rsidRPr="00972EAD" w:rsidRDefault="00D357A0" w:rsidP="00972EAD">
            <w:pPr>
              <w:rPr>
                <w:rFonts w:ascii="Times New Roman" w:hAnsi="Times New Roman"/>
              </w:rPr>
            </w:pPr>
            <w:proofErr w:type="spellStart"/>
            <w:r w:rsidRPr="00972EAD">
              <w:rPr>
                <w:rFonts w:ascii="Times New Roman" w:hAnsi="Times New Roman"/>
                <w:b/>
              </w:rPr>
              <w:lastRenderedPageBreak/>
              <w:t>Подкарантинные</w:t>
            </w:r>
            <w:proofErr w:type="spellEnd"/>
            <w:r w:rsidRPr="00972EAD">
              <w:rPr>
                <w:rFonts w:ascii="Times New Roman" w:hAnsi="Times New Roman"/>
                <w:b/>
              </w:rPr>
              <w:t xml:space="preserve"> объекты</w:t>
            </w:r>
            <w:r w:rsidRPr="00972EAD">
              <w:rPr>
                <w:rFonts w:ascii="Times New Roman" w:hAnsi="Times New Roman"/>
              </w:rPr>
              <w:t xml:space="preserve"> </w:t>
            </w:r>
            <w:proofErr w:type="spellStart"/>
            <w:r w:rsidRPr="00972EAD">
              <w:rPr>
                <w:rFonts w:ascii="Times New Roman" w:hAnsi="Times New Roman"/>
              </w:rPr>
              <w:t>Подкарантинные</w:t>
            </w:r>
            <w:proofErr w:type="spellEnd"/>
            <w:r w:rsidRPr="00972EAD">
              <w:rPr>
                <w:rFonts w:ascii="Times New Roman" w:hAnsi="Times New Roman"/>
              </w:rPr>
              <w:t xml:space="preserve"> зерно и семена зерновых, семена бобовых культур, семена масличных и эфиромасличных культур, жмых, шрот, крупа, прочие грузы растительного происхождения.   </w:t>
            </w:r>
            <w:proofErr w:type="spellStart"/>
            <w:r w:rsidRPr="00972EAD">
              <w:rPr>
                <w:rFonts w:ascii="Times New Roman" w:hAnsi="Times New Roman"/>
              </w:rPr>
              <w:t>Подкарантинные</w:t>
            </w:r>
            <w:proofErr w:type="spellEnd"/>
            <w:r w:rsidRPr="00972EAD">
              <w:rPr>
                <w:rFonts w:ascii="Times New Roman" w:hAnsi="Times New Roman"/>
              </w:rPr>
              <w:t xml:space="preserve"> продукты запаса (зерно и семена </w:t>
            </w:r>
            <w:proofErr w:type="gramStart"/>
            <w:r w:rsidRPr="00972EAD">
              <w:rPr>
                <w:rFonts w:ascii="Times New Roman" w:hAnsi="Times New Roman"/>
              </w:rPr>
              <w:t>зерновых</w:t>
            </w:r>
            <w:proofErr w:type="gramEnd"/>
            <w:r w:rsidRPr="00972EAD">
              <w:rPr>
                <w:rFonts w:ascii="Times New Roman" w:hAnsi="Times New Roman"/>
              </w:rPr>
              <w:t xml:space="preserve"> и семена бобовых культур, семена масличных и эфиромасличных культур, жмых, шрот, крупа, мука, орехи, сухофрукты, бобы какао, зерна кофе и т.п.). </w:t>
            </w:r>
            <w:proofErr w:type="gramStart"/>
            <w:r w:rsidRPr="00972EAD">
              <w:rPr>
                <w:rFonts w:ascii="Times New Roman" w:hAnsi="Times New Roman"/>
              </w:rPr>
              <w:t>Чай, кофе нежареный, какао бобы, пряности, приправы, лекарственное сырье,  в</w:t>
            </w:r>
            <w:r w:rsidRPr="00972EAD">
              <w:rPr>
                <w:rFonts w:ascii="Times New Roman" w:hAnsi="Times New Roman"/>
                <w:bCs/>
              </w:rPr>
              <w:t>олокно хлопчатника, джута, кенафа, сизаля, льна, пр. технические волокна, табак листовой и др. табачное сырье и отходы, тапиока и</w:t>
            </w:r>
            <w:r w:rsidRPr="00972EAD">
              <w:rPr>
                <w:rFonts w:ascii="Times New Roman" w:hAnsi="Times New Roman"/>
                <w:b/>
                <w:bCs/>
              </w:rPr>
              <w:t xml:space="preserve"> </w:t>
            </w:r>
            <w:r w:rsidRPr="00972EAD">
              <w:rPr>
                <w:rFonts w:ascii="Times New Roman" w:hAnsi="Times New Roman"/>
                <w:bCs/>
              </w:rPr>
              <w:t>ее аналоги</w:t>
            </w:r>
            <w:r w:rsidRPr="00972EAD">
              <w:rPr>
                <w:rFonts w:ascii="Times New Roman" w:hAnsi="Times New Roman"/>
              </w:rPr>
              <w:t>), плоды, овощи, ягоды, тепличные и декоративные культуры, срез цветов, саженцы и деревья плодовых культур, плоды (фрукты) свежие, картофель клубни (продовольственный, семенной), баклажаны, томаты, перец,  растения семейства пасленовые, плодовые, ягодные, декоративные</w:t>
            </w:r>
            <w:proofErr w:type="gramEnd"/>
            <w:r w:rsidRPr="00972EAD">
              <w:rPr>
                <w:rFonts w:ascii="Times New Roman" w:hAnsi="Times New Roman"/>
              </w:rPr>
              <w:t xml:space="preserve">, цитрусовые, лесные лиственные породы, чайный куст, растения хризантем, в том числе срезанные цветы, бутоны, ветви деревьев и кустарников с листьями и бутонами, травы ветки хвойных деревьев, мхи и лишайники, рождественские деревья и т.д., саженцы деревьев и кустарников всех видов (лесные, плодовые, декоративные), горшечные растения, луковицы, клубни, корневые клубни, клубнелуковицы, розетки корней, прочие живые </w:t>
            </w:r>
            <w:proofErr w:type="gramStart"/>
            <w:r w:rsidRPr="00972EAD">
              <w:rPr>
                <w:rFonts w:ascii="Times New Roman" w:hAnsi="Times New Roman"/>
              </w:rPr>
              <w:t>растения</w:t>
            </w:r>
            <w:proofErr w:type="gramEnd"/>
            <w:r w:rsidRPr="00972EAD">
              <w:rPr>
                <w:rFonts w:ascii="Times New Roman" w:hAnsi="Times New Roman"/>
              </w:rPr>
              <w:t xml:space="preserve"> включая их корни, черенки и отводки, места складирования, </w:t>
            </w:r>
            <w:r w:rsidRPr="00972EAD">
              <w:rPr>
                <w:rFonts w:ascii="Times New Roman" w:hAnsi="Times New Roman"/>
                <w:bCs/>
              </w:rPr>
              <w:t>Лес (верхние, нижние склады). Круглые лесоматериалы, дрова, пиломатериалы, изделия из древесины. Масса древесная и механическая, опилки, кора и прочее</w:t>
            </w:r>
            <w:r w:rsidRPr="00972EAD">
              <w:rPr>
                <w:rFonts w:ascii="Times New Roman" w:hAnsi="Times New Roman"/>
              </w:rPr>
              <w:t xml:space="preserve">, тара и упаковочные материалы, </w:t>
            </w:r>
            <w:proofErr w:type="spellStart"/>
            <w:r w:rsidRPr="00972EAD">
              <w:rPr>
                <w:rFonts w:ascii="Times New Roman" w:hAnsi="Times New Roman"/>
              </w:rPr>
              <w:t>гофрокартон</w:t>
            </w:r>
            <w:proofErr w:type="spellEnd"/>
            <w:r w:rsidRPr="00972EAD">
              <w:rPr>
                <w:rFonts w:ascii="Times New Roman" w:hAnsi="Times New Roman"/>
              </w:rPr>
              <w:t xml:space="preserve">. </w:t>
            </w:r>
            <w:r w:rsidRPr="00972EAD">
              <w:rPr>
                <w:rFonts w:ascii="Times New Roman" w:hAnsi="Times New Roman"/>
                <w:bCs/>
              </w:rPr>
              <w:t>Складские и производственные помещения,  территории предприятий и прилегающих территорий, подъездных путей, открытых складов, места складывания отходов, теплицы закрытого грунта, питомники сельскохозяйственных, декоративных, лесных  культур, земельные угодья.</w:t>
            </w:r>
            <w:r w:rsidRPr="00972EAD">
              <w:rPr>
                <w:rFonts w:ascii="Times New Roman" w:hAnsi="Times New Roman"/>
              </w:rPr>
              <w:t xml:space="preserve"> Сметки из-под картофеля и корнеплодов из овощехранилищ и перерабатывающих предприятий.  </w:t>
            </w:r>
            <w:proofErr w:type="gramStart"/>
            <w:r w:rsidRPr="00972EAD">
              <w:rPr>
                <w:rFonts w:ascii="Times New Roman" w:hAnsi="Times New Roman"/>
              </w:rPr>
              <w:t>Закрытый грунт (оранжереи, теплицы), земли любого целевого назначения, Почва, субстраты, торф.</w:t>
            </w:r>
            <w:proofErr w:type="gramEnd"/>
            <w:r w:rsidRPr="00972EAD">
              <w:rPr>
                <w:rFonts w:ascii="Times New Roman" w:hAnsi="Times New Roman"/>
              </w:rPr>
              <w:t xml:space="preserve">  </w:t>
            </w:r>
            <w:proofErr w:type="gramStart"/>
            <w:r w:rsidRPr="00972EAD">
              <w:rPr>
                <w:rFonts w:ascii="Times New Roman" w:hAnsi="Times New Roman"/>
                <w:bCs/>
              </w:rPr>
              <w:t xml:space="preserve">Транспортные средства (суда, вагоны, контейнеры, </w:t>
            </w:r>
            <w:r w:rsidRPr="00972EAD">
              <w:rPr>
                <w:rFonts w:ascii="Times New Roman" w:hAnsi="Times New Roman"/>
              </w:rPr>
              <w:t xml:space="preserve">оборудование, </w:t>
            </w:r>
            <w:r w:rsidRPr="00972EAD">
              <w:rPr>
                <w:rFonts w:ascii="Times New Roman" w:hAnsi="Times New Roman"/>
                <w:bCs/>
              </w:rPr>
              <w:t xml:space="preserve"> автобусы, автомобили, самолеты и т.д.).</w:t>
            </w:r>
            <w:proofErr w:type="gramEnd"/>
            <w:r w:rsidRPr="00972EAD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972EAD">
              <w:rPr>
                <w:rFonts w:ascii="Times New Roman" w:hAnsi="Times New Roman"/>
              </w:rPr>
              <w:t>Биологический материал (гербарий, коллекции семян, насекомые и клещи, прочие беспозвоночные,</w:t>
            </w:r>
            <w:r w:rsidRPr="00972EAD">
              <w:rPr>
                <w:rFonts w:ascii="Times New Roman" w:hAnsi="Times New Roman"/>
                <w:b/>
              </w:rPr>
              <w:t xml:space="preserve"> </w:t>
            </w:r>
            <w:r w:rsidRPr="00972EAD">
              <w:rPr>
                <w:rFonts w:ascii="Times New Roman" w:hAnsi="Times New Roman"/>
              </w:rPr>
              <w:t>фиксированный энтомологический материал, фиксированный ботанический и фитопатологический материал, культуры живых насекомых, клещей, микроорганизмов, грибов, культуры нематод и проч. Беспозвоночных.</w:t>
            </w:r>
            <w:proofErr w:type="gramEnd"/>
            <w:r w:rsidRPr="00972EAD">
              <w:rPr>
                <w:rFonts w:ascii="Times New Roman" w:hAnsi="Times New Roman"/>
              </w:rPr>
              <w:t xml:space="preserve">  </w:t>
            </w:r>
            <w:r w:rsidRPr="00972EAD">
              <w:rPr>
                <w:rFonts w:ascii="Times New Roman" w:hAnsi="Times New Roman"/>
                <w:bCs/>
              </w:rPr>
              <w:t>Коллекции и коллекционный  материал по зоологии, ботанике, фитопатологии</w:t>
            </w:r>
            <w:r w:rsidRPr="00972EAD">
              <w:rPr>
                <w:rFonts w:ascii="Times New Roman" w:hAnsi="Times New Roman"/>
              </w:rPr>
              <w:t>.</w:t>
            </w: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фитосанитарного состояния </w:t>
            </w:r>
            <w:proofErr w:type="spellStart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и патологический материалы</w:t>
            </w: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оценка </w:t>
            </w:r>
            <w:r w:rsidRPr="00972EA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ветеринарно-санитарных исследований, результатов диагностики болезней животных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 w:val="restart"/>
          </w:tcPr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Промышленные здания, сооружения, помещения, промышленные объекты, </w:t>
            </w:r>
            <w:proofErr w:type="gramStart"/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том числе производственные и технологические процессы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Предприятия по производству   мясных (</w:t>
            </w:r>
            <w:proofErr w:type="spellStart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мясосодержащих</w:t>
            </w:r>
            <w:proofErr w:type="spellEnd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) полуфабрикатов, колбасных изделий, прочей пищевой продукции из мяса или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мясных пищевых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субпродуктов, Предприятия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по переработке и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консервированию мяса и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мясной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пищевой продукции.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по переработке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и консервированию рыбы, ракообразных и моллюсков. Предприятия по производству    соковой продукции </w:t>
            </w:r>
            <w:proofErr w:type="gramStart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фруктов и овощей.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по производству растительных и животных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масел и жиров. Предприятия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по производству молока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(кроме </w:t>
            </w:r>
            <w:proofErr w:type="gramStart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сырого</w:t>
            </w:r>
            <w:proofErr w:type="gramEnd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) и молочной продукции., спредов и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топленых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сливочно-растительных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смесей, сыра и сырных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продуктов, прочей молочной продукции. Предприятия по производству БАД к пище. Предприятия по производству напитков, спирта,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алкогольной и безалкогольной продукции. Предприятия по производству продукции растениеводства.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по производству продуктов </w:t>
            </w:r>
            <w:proofErr w:type="gramStart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мукомольной</w:t>
            </w:r>
            <w:proofErr w:type="gramEnd"/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>крупяной промышленности. Элеваторы и хлебоприемные предприятия, зернохранилища.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по производству хлебобулочных и мучных кондитерских, макаронных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изделий. Предприятия по производству шоколада и сахаристых кондитерских изделий, изделий из сахара.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</w:t>
            </w:r>
          </w:p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AD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хозяйства. </w:t>
            </w:r>
          </w:p>
          <w:p w:rsidR="00D357A0" w:rsidRPr="00972EAD" w:rsidRDefault="00D357A0" w:rsidP="00972E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Ветеринарно-санитарная экспертиза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A0" w:rsidRPr="00972EAD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73" w:type="dxa"/>
          </w:tcPr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Ветеринарно-санитарное обследование </w:t>
            </w:r>
          </w:p>
          <w:p w:rsidR="00D357A0" w:rsidRPr="00972EAD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A0" w:rsidRPr="00C72193" w:rsidTr="00972EAD">
        <w:trPr>
          <w:jc w:val="center"/>
        </w:trPr>
        <w:tc>
          <w:tcPr>
            <w:tcW w:w="6463" w:type="dxa"/>
            <w:vMerge/>
          </w:tcPr>
          <w:p w:rsidR="00D357A0" w:rsidRPr="00972EAD" w:rsidRDefault="00D357A0" w:rsidP="00972EA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73" w:type="dxa"/>
          </w:tcPr>
          <w:p w:rsidR="00D357A0" w:rsidRPr="00D357A0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Ветеринарно-санитарная </w:t>
            </w:r>
            <w:r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</w:t>
            </w:r>
          </w:p>
          <w:p w:rsidR="00D357A0" w:rsidRPr="00D357A0" w:rsidRDefault="00D357A0" w:rsidP="00972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EDB" w:rsidRDefault="00C60EDB"/>
    <w:p w:rsidR="00C72193" w:rsidRDefault="00C72193"/>
    <w:sectPr w:rsidR="00C7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3"/>
    <w:rsid w:val="00130558"/>
    <w:rsid w:val="003632E1"/>
    <w:rsid w:val="00477207"/>
    <w:rsid w:val="00623178"/>
    <w:rsid w:val="00933D59"/>
    <w:rsid w:val="00972EAD"/>
    <w:rsid w:val="00C60EDB"/>
    <w:rsid w:val="00C72193"/>
    <w:rsid w:val="00C73183"/>
    <w:rsid w:val="00D357A0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2018-03-26T14:41:00Z</cp:lastPrinted>
  <dcterms:created xsi:type="dcterms:W3CDTF">2018-03-26T14:30:00Z</dcterms:created>
  <dcterms:modified xsi:type="dcterms:W3CDTF">2018-03-27T06:06:00Z</dcterms:modified>
</cp:coreProperties>
</file>